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2" w:name="_GoBack"/>
      <w:bookmarkEnd w:id="2"/>
      <w:r>
        <w:rPr>
          <w:rFonts w:hint="eastAsia"/>
          <w:lang w:val="en-US" w:eastAsia="zh-CN"/>
        </w:rPr>
        <w:t>竞赛日程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6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60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7月05日</w:t>
            </w:r>
          </w:p>
        </w:tc>
        <w:tc>
          <w:tcPr>
            <w:tcW w:w="6462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公布初版竞赛赛题，共两套。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7月06日</w:t>
            </w:r>
          </w:p>
        </w:tc>
        <w:tc>
          <w:tcPr>
            <w:tcW w:w="6462" w:type="dxa"/>
          </w:tcPr>
          <w:p>
            <w:pP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各参赛队伍于 12：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00 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之前，将两套赛题的勘误意见反馈至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竞赛专用邮箱</w:t>
            </w:r>
            <w:bookmarkStart w:id="0" w:name="OLE_LINK2"/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（3645752140@qq.com）</w:t>
            </w:r>
            <w:bookmarkEnd w:id="0"/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7月07日</w:t>
            </w:r>
          </w:p>
        </w:tc>
        <w:tc>
          <w:tcPr>
            <w:tcW w:w="6462" w:type="dxa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发布最终赛题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7月15日</w:t>
            </w:r>
          </w:p>
        </w:tc>
        <w:tc>
          <w:tcPr>
            <w:tcW w:w="6462" w:type="dxa"/>
          </w:tcPr>
          <w:p>
            <w:pP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12：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 xml:space="preserve">00 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前，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各队按照《秩序册》中的格式要求，将一号赛题的《公诉意见书》、《辩护意见书》发至竞赛专用邮箱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（3645752140@qq.com）。</w:t>
            </w:r>
          </w:p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进行预选赛文书评审。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7月21日</w:t>
            </w:r>
          </w:p>
        </w:tc>
        <w:tc>
          <w:tcPr>
            <w:tcW w:w="6462" w:type="dxa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20：00前公布预选赛晋级名单，组织初赛抽签。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restart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7月22日</w:t>
            </w:r>
          </w:p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</w:tcPr>
          <w:p>
            <w:pP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12：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 xml:space="preserve">00 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前，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控方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初赛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《起诉书》、《拟出庭证人名单》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证据目录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</w:tcPr>
          <w:p>
            <w:pP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20：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 xml:space="preserve">00 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前，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工作人员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控方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提交的上述材料发送给相对应的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辩方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7月24日</w:t>
            </w:r>
          </w:p>
        </w:tc>
        <w:tc>
          <w:tcPr>
            <w:tcW w:w="6462" w:type="dxa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bookmarkStart w:id="1" w:name="OLE_LINK1"/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12：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 xml:space="preserve">00 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前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辩方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初赛</w:t>
            </w:r>
            <w:bookmarkEnd w:id="1"/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证据目录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如果需要另行举证则提交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工作人员将辩方提交的《证据目录》发送给相应控方。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7月26日-27日</w:t>
            </w:r>
          </w:p>
        </w:tc>
        <w:tc>
          <w:tcPr>
            <w:tcW w:w="6462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初赛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7月27日</w:t>
            </w:r>
          </w:p>
        </w:tc>
        <w:tc>
          <w:tcPr>
            <w:tcW w:w="6462" w:type="dxa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20：00前公布初赛晋级名单，组织复赛抽签。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restart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8月1日</w:t>
            </w:r>
          </w:p>
        </w:tc>
        <w:tc>
          <w:tcPr>
            <w:tcW w:w="6462" w:type="dxa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12：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 xml:space="preserve">00 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前，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控方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复赛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《起诉书》、《拟出庭证人名单》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证据目录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</w:tcPr>
          <w:p>
            <w:pP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20：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 xml:space="preserve">00 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前，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工作人员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控方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提交的上述材料发送给相对应的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辩方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8月6日</w:t>
            </w:r>
          </w:p>
        </w:tc>
        <w:tc>
          <w:tcPr>
            <w:tcW w:w="6462" w:type="dxa"/>
            <w:vAlign w:val="top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12：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 xml:space="preserve">00 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前，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控方将复赛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《公诉意见书》发至竞赛专用邮箱。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辩方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将《辩护意见书》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证据目录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如果需要另行举证则提交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工作人员将辩方提交的《证据目录》发送给相应控方。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restart"/>
          </w:tcPr>
          <w:p>
            <w:pP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8月10日</w:t>
            </w:r>
          </w:p>
        </w:tc>
        <w:tc>
          <w:tcPr>
            <w:tcW w:w="6462" w:type="dxa"/>
            <w:vAlign w:val="top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vAlign w:val="top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12：00前，工作人员组织半决赛抽签。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vAlign w:val="top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12：30前，控方将半决赛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《起诉书》、《拟出庭证人名单》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证据目录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工作人员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控方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提交的上述材料发送给相对应的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辩方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vAlign w:val="top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13：30前，控方将半决赛</w:t>
            </w: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</w:rPr>
              <w:t>《公诉意见</w:t>
            </w:r>
            <w:r>
              <w:rPr>
                <w:rFonts w:hint="eastAsia" w:ascii="TimesNewRomanPSMT" w:hAnsi="TimesNewRomanPSMT" w:eastAsia="宋体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t>概要</w:t>
            </w: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TimesNewRomanPSMT" w:hAnsi="TimesNewRomanPSMT" w:eastAsia="宋体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t>或《公诉意见书》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辩方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半决赛</w:t>
            </w: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</w:rPr>
              <w:t>《辩护意见</w:t>
            </w:r>
            <w:r>
              <w:rPr>
                <w:rFonts w:hint="eastAsia" w:ascii="TimesNewRomanPSMT" w:hAnsi="TimesNewRomanPSMT" w:eastAsia="宋体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t>概要</w:t>
            </w: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TimesNewRomanPSMT" w:hAnsi="TimesNewRomanPSMT" w:eastAsia="宋体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t>或《辩护意见书》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证据目录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如果需要另行举证则提交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工作人员将辩方提交的《证据目录》发送给相应控方。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vAlign w:val="top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半决赛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vAlign w:val="top"/>
          </w:tcPr>
          <w:p>
            <w:pP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17：00前，工作人员组织决赛抽签。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vAlign w:val="top"/>
          </w:tcPr>
          <w:p>
            <w:pP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17：30前，控方将决赛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《起诉书》、《拟出庭证人名单》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证据目录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工作人员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控方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提交的上述材料发送给相对应的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辩方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vAlign w:val="top"/>
          </w:tcPr>
          <w:p>
            <w:pP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19：00前，控方将决赛</w:t>
            </w: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</w:rPr>
              <w:t>《公诉意见</w:t>
            </w:r>
            <w:r>
              <w:rPr>
                <w:rFonts w:hint="eastAsia" w:ascii="TimesNewRomanPSMT" w:hAnsi="TimesNewRomanPSMT" w:eastAsia="宋体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t>概要</w:t>
            </w: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TimesNewRomanPSMT" w:hAnsi="TimesNewRomanPSMT" w:eastAsia="宋体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t>或《公诉意见书》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辩方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将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决赛</w:t>
            </w: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</w:rPr>
              <w:t>《辩护意见</w:t>
            </w:r>
            <w:r>
              <w:rPr>
                <w:rFonts w:hint="eastAsia" w:ascii="TimesNewRomanPSMT" w:hAnsi="TimesNewRomanPSMT" w:eastAsia="宋体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t>概要</w:t>
            </w: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TimesNewRomanPSMT" w:hAnsi="TimesNewRomanPSMT" w:eastAsia="宋体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t>或《辩护意见书》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证据目录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如果需要另行举证则提交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</w:rPr>
              <w:t>发至竞赛专用邮箱。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工作人员将辩方提交的《证据目录》发送给相应控方。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vAlign w:val="top"/>
          </w:tcPr>
          <w:p>
            <w:pPr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决赛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ZDA0NTdiMjM0ZjA3NWQzN2I5YzZhZTc4N2ZlMmIifQ=="/>
  </w:docVars>
  <w:rsids>
    <w:rsidRoot w:val="00000000"/>
    <w:rsid w:val="14D05F44"/>
    <w:rsid w:val="22C361FA"/>
    <w:rsid w:val="28D43EC9"/>
    <w:rsid w:val="2A534912"/>
    <w:rsid w:val="2D476768"/>
    <w:rsid w:val="2D964A2D"/>
    <w:rsid w:val="2DE910F3"/>
    <w:rsid w:val="337657B9"/>
    <w:rsid w:val="34111467"/>
    <w:rsid w:val="3A1545A3"/>
    <w:rsid w:val="5FFC78C2"/>
    <w:rsid w:val="644F0FB6"/>
    <w:rsid w:val="64DF5427"/>
    <w:rsid w:val="660141F5"/>
    <w:rsid w:val="673C2EEA"/>
    <w:rsid w:val="677E38DF"/>
    <w:rsid w:val="67FE5835"/>
    <w:rsid w:val="6FA77F48"/>
    <w:rsid w:val="791C68C4"/>
    <w:rsid w:val="7B8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914</Characters>
  <Lines>0</Lines>
  <Paragraphs>0</Paragraphs>
  <TotalTime>1</TotalTime>
  <ScaleCrop>false</ScaleCrop>
  <LinksUpToDate>false</LinksUpToDate>
  <CharactersWithSpaces>923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2023-12-15T07:16:00Z</dcterms:created>
  <dc:creator>86177</dc:creator>
  <cp:lastModifiedBy>立夏</cp:lastModifiedBy>
  <dcterms:modified xsi:type="dcterms:W3CDTF">2025-05-28T13:10:07Z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774808C1B37640B58FDFD3AEE9606602_12</vt:lpwstr>
  </property>
</Properties>
</file>